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824E1" w14:textId="5574C006"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EB7E4E" w:rsidRPr="00EB7E4E">
        <w:rPr>
          <w:rFonts w:ascii="Arial" w:eastAsia="SimSun" w:hAnsi="Arial" w:cs="Times New Roman"/>
          <w:b/>
          <w:bCs/>
          <w:sz w:val="24"/>
          <w:szCs w:val="20"/>
          <w:lang w:val="en-US" w:eastAsia="ja-JP"/>
        </w:rPr>
        <w:t>R4-241165</w:t>
      </w:r>
      <w:r w:rsidR="00EB7E4E">
        <w:rPr>
          <w:rFonts w:ascii="Arial" w:eastAsia="SimSun" w:hAnsi="Arial" w:cs="Times New Roman"/>
          <w:b/>
          <w:bCs/>
          <w:sz w:val="24"/>
          <w:szCs w:val="20"/>
          <w:lang w:val="en-US" w:eastAsia="ja-JP"/>
        </w:rPr>
        <w:t>8</w:t>
      </w:r>
    </w:p>
    <w:p w14:paraId="3CBBCC8A"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0846D48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97EF7" w:rsidRPr="00997EF7">
        <w:rPr>
          <w:rFonts w:ascii="Arial" w:eastAsia="Calibri" w:hAnsi="Arial" w:cs="Arial"/>
          <w:b/>
          <w:bCs/>
          <w:sz w:val="24"/>
          <w:lang w:val="en-US"/>
        </w:rPr>
        <w:t>Discussion on Ku band for NR NTN</w:t>
      </w:r>
    </w:p>
    <w:p w14:paraId="0BA6D0AF" w14:textId="6763ACB1" w:rsidR="00841BCD" w:rsidRPr="00614DD8" w:rsidRDefault="00841BCD" w:rsidP="00841BCD">
      <w:pPr>
        <w:tabs>
          <w:tab w:val="left" w:pos="1985"/>
        </w:tabs>
        <w:spacing w:after="120" w:line="240" w:lineRule="auto"/>
        <w:rPr>
          <w:rFonts w:ascii="Arial" w:hAnsi="Arial" w:cs="Arial"/>
          <w:b/>
          <w:bCs/>
          <w:sz w:val="24"/>
          <w:szCs w:val="20"/>
          <w:lang w:val="en-US"/>
        </w:rPr>
      </w:pPr>
      <w:r w:rsidRPr="00A37B26">
        <w:rPr>
          <w:rFonts w:ascii="Arial" w:hAnsi="Arial" w:cs="Arial"/>
          <w:b/>
          <w:bCs/>
          <w:sz w:val="24"/>
          <w:szCs w:val="20"/>
          <w:lang w:val="en-US"/>
        </w:rPr>
        <w:t>Agenda item:</w:t>
      </w:r>
      <w:r w:rsidRPr="00A37B26">
        <w:rPr>
          <w:rFonts w:ascii="Arial" w:hAnsi="Arial" w:cs="Arial"/>
          <w:b/>
          <w:bCs/>
          <w:sz w:val="24"/>
          <w:szCs w:val="20"/>
          <w:lang w:val="en-US"/>
        </w:rPr>
        <w:tab/>
      </w:r>
      <w:r w:rsidR="00EB7E4E" w:rsidRPr="00A37B26">
        <w:rPr>
          <w:rFonts w:ascii="Arial" w:hAnsi="Arial" w:cs="Arial"/>
          <w:b/>
          <w:bCs/>
          <w:sz w:val="24"/>
          <w:szCs w:val="20"/>
          <w:lang w:val="en-US"/>
        </w:rPr>
        <w:t>8.9.2</w:t>
      </w:r>
    </w:p>
    <w:p w14:paraId="19A08D9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A26399" w14:textId="15540E2F" w:rsidR="00D9052A" w:rsidRPr="00614DD8" w:rsidRDefault="00D9052A" w:rsidP="00D9052A">
      <w:pPr>
        <w:rPr>
          <w:lang w:val="en-US"/>
        </w:rPr>
      </w:pPr>
      <w:r>
        <w:rPr>
          <w:lang w:val="en-US"/>
        </w:rPr>
        <w:t>In this paper, we provide our views on the s</w:t>
      </w:r>
      <w:r w:rsidRPr="00E721CF">
        <w:rPr>
          <w:lang w:val="en-US"/>
        </w:rPr>
        <w:t>uppor</w:t>
      </w:r>
      <w:r>
        <w:rPr>
          <w:lang w:val="en-US"/>
        </w:rPr>
        <w:t>t</w:t>
      </w:r>
      <w:r w:rsidRPr="00E721CF">
        <w:rPr>
          <w:rFonts w:eastAsia="Malgun Gothic"/>
          <w:lang w:val="en-US" w:eastAsia="ko-KR"/>
        </w:rPr>
        <w:t xml:space="preserve"> </w:t>
      </w:r>
      <w:r w:rsidRPr="009431DD">
        <w:rPr>
          <w:rFonts w:eastAsia="Malgun Gothic"/>
          <w:lang w:val="en-US" w:eastAsia="ko-KR"/>
        </w:rPr>
        <w:t xml:space="preserve">of </w:t>
      </w:r>
      <w:r w:rsidR="00997EF7">
        <w:rPr>
          <w:rFonts w:eastAsia="Malgun Gothic"/>
          <w:lang w:val="en-US" w:eastAsia="ko-KR"/>
        </w:rPr>
        <w:t xml:space="preserve">Ku band for </w:t>
      </w:r>
      <w:r w:rsidRPr="009431DD">
        <w:rPr>
          <w:rFonts w:eastAsia="Malgun Gothic"/>
          <w:lang w:val="en-US" w:eastAsia="ko-KR"/>
        </w:rPr>
        <w:t>NR NTN</w:t>
      </w:r>
      <w:r>
        <w:rPr>
          <w:rFonts w:eastAsia="Malgun Gothic"/>
          <w:lang w:val="en-US" w:eastAsia="ko-KR"/>
        </w:rPr>
        <w:t xml:space="preserve">. </w:t>
      </w:r>
      <w:r w:rsidR="00BD3615">
        <w:rPr>
          <w:rFonts w:eastAsia="Malgun Gothic"/>
          <w:lang w:val="en-US" w:eastAsia="ko-KR"/>
        </w:rPr>
        <w:t xml:space="preserve">Core parts of the </w:t>
      </w:r>
      <w:r>
        <w:rPr>
          <w:rFonts w:eastAsia="Malgun Gothic"/>
          <w:lang w:val="en-US" w:eastAsia="ko-KR"/>
        </w:rPr>
        <w:t>ob</w:t>
      </w:r>
      <w:r>
        <w:rPr>
          <w:lang w:val="en-US"/>
        </w:rPr>
        <w:t>jectives mentioned in the WID are copied below for ease of reading.</w:t>
      </w:r>
    </w:p>
    <w:p w14:paraId="08D3D308" w14:textId="77777777" w:rsidR="00D9052A" w:rsidRPr="00614DD8" w:rsidRDefault="00D9052A" w:rsidP="00D9052A">
      <w:pPr>
        <w:rPr>
          <w:lang w:val="en-US"/>
        </w:rPr>
      </w:pPr>
      <w:r>
        <w:rPr>
          <w:lang w:val="en-US"/>
        </w:rPr>
        <w:t>Objectives</w:t>
      </w:r>
      <w:r w:rsidRPr="00614DD8">
        <w:rPr>
          <w:lang w:val="en-US"/>
        </w:rPr>
        <w:t>:</w:t>
      </w:r>
    </w:p>
    <w:tbl>
      <w:tblPr>
        <w:tblStyle w:val="TableGrid"/>
        <w:tblW w:w="0" w:type="auto"/>
        <w:tblLook w:val="04A0" w:firstRow="1" w:lastRow="0" w:firstColumn="1" w:lastColumn="0" w:noHBand="0" w:noVBand="1"/>
      </w:tblPr>
      <w:tblGrid>
        <w:gridCol w:w="9617"/>
      </w:tblGrid>
      <w:tr w:rsidR="00D9052A" w:rsidRPr="00614DD8" w14:paraId="2D56DA99" w14:textId="77777777">
        <w:tc>
          <w:tcPr>
            <w:tcW w:w="9617" w:type="dxa"/>
          </w:tcPr>
          <w:p w14:paraId="4B4CD0EF" w14:textId="77777777" w:rsidR="00BD3615" w:rsidRPr="00BD3615" w:rsidRDefault="00BD3615" w:rsidP="00BD3615">
            <w:pPr>
              <w:overflowPunct w:val="0"/>
              <w:autoSpaceDE w:val="0"/>
              <w:autoSpaceDN w:val="0"/>
              <w:adjustRightInd w:val="0"/>
              <w:rPr>
                <w:rFonts w:eastAsia="Times New Roman" w:cs="Times New Roman"/>
                <w:bCs/>
                <w:szCs w:val="20"/>
                <w:lang w:eastAsia="en-GB"/>
              </w:rPr>
            </w:pPr>
            <w:bookmarkStart w:id="4" w:name="_Hlk166226955"/>
            <w:r w:rsidRPr="00BD3615">
              <w:rPr>
                <w:rFonts w:eastAsia="Times New Roman" w:cs="Times New Roman"/>
                <w:bCs/>
                <w:szCs w:val="20"/>
                <w:lang w:eastAsia="en-GB"/>
              </w:rPr>
              <w:t>The following assumptions are taken as the baseline for this work:</w:t>
            </w:r>
          </w:p>
          <w:p w14:paraId="5CF8465A" w14:textId="77777777" w:rsidR="00BD3615" w:rsidRPr="00BD3615" w:rsidRDefault="00BD3615" w:rsidP="00BD3615">
            <w:pPr>
              <w:numPr>
                <w:ilvl w:val="0"/>
                <w:numId w:val="32"/>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GSO and NGSO</w:t>
            </w:r>
          </w:p>
          <w:p w14:paraId="3BAFC941" w14:textId="77777777" w:rsidR="00BD3615" w:rsidRPr="00BD3615" w:rsidRDefault="00BD3615" w:rsidP="00BD3615">
            <w:pPr>
              <w:numPr>
                <w:ilvl w:val="0"/>
                <w:numId w:val="32"/>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 xml:space="preserve">NTN capable UE type 1 to 5 (38.101-5 </w:t>
            </w:r>
            <w:r w:rsidRPr="00BD3615">
              <w:rPr>
                <w:rFonts w:eastAsia="Times New Roman" w:cs="Times New Roman"/>
                <w:szCs w:val="20"/>
                <w:lang w:eastAsia="en-GB"/>
              </w:rPr>
              <w:t xml:space="preserve">Table 9.2.1.0-1) </w:t>
            </w:r>
            <w:r w:rsidRPr="00BD3615">
              <w:rPr>
                <w:rFonts w:eastAsia="Times New Roman" w:cs="Times New Roman"/>
                <w:bCs/>
                <w:szCs w:val="20"/>
                <w:lang w:eastAsia="en-GB"/>
              </w:rPr>
              <w:t>for above 10 GHz (no handheld devices)</w:t>
            </w:r>
          </w:p>
          <w:p w14:paraId="61C8A54B" w14:textId="77777777" w:rsidR="00BD3615" w:rsidRPr="00BD3615" w:rsidRDefault="00BD3615" w:rsidP="00BD3615">
            <w:pPr>
              <w:numPr>
                <w:ilvl w:val="0"/>
                <w:numId w:val="32"/>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 xml:space="preserve">FDD Mode </w:t>
            </w:r>
          </w:p>
          <w:p w14:paraId="697A108D" w14:textId="77777777" w:rsidR="00BD3615" w:rsidRPr="00BD3615" w:rsidRDefault="00BD3615" w:rsidP="00BD3615">
            <w:pPr>
              <w:numPr>
                <w:ilvl w:val="0"/>
                <w:numId w:val="32"/>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 xml:space="preserve">GNSS Receiver capability </w:t>
            </w:r>
          </w:p>
          <w:p w14:paraId="0AD9D70E" w14:textId="77777777" w:rsidR="00BD3615" w:rsidRPr="00BD3615" w:rsidRDefault="00BD3615" w:rsidP="00BD3615">
            <w:pPr>
              <w:overflowPunct w:val="0"/>
              <w:autoSpaceDE w:val="0"/>
              <w:autoSpaceDN w:val="0"/>
              <w:adjustRightInd w:val="0"/>
              <w:ind w:left="720"/>
              <w:rPr>
                <w:rFonts w:eastAsia="Times New Roman" w:cs="Times New Roman"/>
                <w:bCs/>
                <w:color w:val="FF0000"/>
                <w:szCs w:val="20"/>
                <w:lang w:eastAsia="en-GB"/>
              </w:rPr>
            </w:pPr>
          </w:p>
          <w:p w14:paraId="621BE1CA" w14:textId="77777777" w:rsidR="00BD3615" w:rsidRPr="00BD3615" w:rsidRDefault="00BD3615" w:rsidP="00BD3615">
            <w:pPr>
              <w:overflowPunct w:val="0"/>
              <w:autoSpaceDE w:val="0"/>
              <w:autoSpaceDN w:val="0"/>
              <w:adjustRightInd w:val="0"/>
              <w:spacing w:after="180"/>
              <w:rPr>
                <w:rFonts w:eastAsia="Times New Roman" w:cs="Times New Roman"/>
                <w:bCs/>
                <w:szCs w:val="20"/>
                <w:lang w:eastAsia="en-GB"/>
              </w:rPr>
            </w:pPr>
            <w:r w:rsidRPr="00BD3615">
              <w:rPr>
                <w:rFonts w:eastAsia="Times New Roman" w:cs="Times New Roman"/>
                <w:iCs/>
                <w:szCs w:val="20"/>
                <w:lang w:eastAsia="en-GB"/>
              </w:rPr>
              <w:t>The objectives are:</w:t>
            </w:r>
          </w:p>
          <w:p w14:paraId="62B1FAF1" w14:textId="77777777" w:rsidR="00BD3615" w:rsidRPr="00BD3615" w:rsidRDefault="00BD3615" w:rsidP="00BD3615">
            <w:pPr>
              <w:numPr>
                <w:ilvl w:val="0"/>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Use the regulation requirements in ITU Regions 1, 2 and 3 to identify relevant adjacent band co-existence scenarios for NTN Ku Band covering the following frequency ranges, considering targeted deployment scenarios:</w:t>
            </w:r>
          </w:p>
          <w:p w14:paraId="60F4D35B" w14:textId="77777777" w:rsidR="00BD3615" w:rsidRPr="00BD3615" w:rsidRDefault="00BD3615" w:rsidP="00BD3615">
            <w:pPr>
              <w:numPr>
                <w:ilvl w:val="1"/>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For ITU regions 1 and 3:</w:t>
            </w:r>
          </w:p>
          <w:p w14:paraId="2B5D21CD"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Downlink 10.70 – 12.75 GHz</w:t>
            </w:r>
          </w:p>
          <w:p w14:paraId="2EE683D9"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Uplink 13.75-14.5 GHz</w:t>
            </w:r>
          </w:p>
          <w:p w14:paraId="5C5CF585" w14:textId="77777777" w:rsidR="00BD3615" w:rsidRPr="00BD3615" w:rsidRDefault="00BD3615" w:rsidP="00BD3615">
            <w:pPr>
              <w:numPr>
                <w:ilvl w:val="1"/>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For ITU regions 2 excluding US:</w:t>
            </w:r>
          </w:p>
          <w:p w14:paraId="7543D969"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Downlink 10.70 – 12.70 GHz</w:t>
            </w:r>
          </w:p>
          <w:p w14:paraId="46F89924"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Uplink 13.75-14.5 GHz</w:t>
            </w:r>
          </w:p>
          <w:p w14:paraId="4A17C7A1" w14:textId="77777777" w:rsidR="00BD3615" w:rsidRPr="00BD3615" w:rsidRDefault="00BD3615" w:rsidP="00BD3615">
            <w:pPr>
              <w:numPr>
                <w:ilvl w:val="1"/>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For ITU regions 1 and 3</w:t>
            </w:r>
          </w:p>
          <w:p w14:paraId="0D524541"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Downlink 10.70 – 12.75 GHz</w:t>
            </w:r>
          </w:p>
          <w:p w14:paraId="28379952"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Uplink 12.75 - 13.25 GHz</w:t>
            </w:r>
          </w:p>
          <w:p w14:paraId="780195EF" w14:textId="77777777" w:rsidR="00BD3615" w:rsidRPr="00BD3615" w:rsidRDefault="00BD3615" w:rsidP="00BD3615">
            <w:pPr>
              <w:numPr>
                <w:ilvl w:val="1"/>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For ITU regions 2 excluding US</w:t>
            </w:r>
          </w:p>
          <w:p w14:paraId="6FE1E609"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Downlink 10.70 – 12.70 GHz</w:t>
            </w:r>
          </w:p>
          <w:p w14:paraId="4842DCFB"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Uplink 12.70 - 13.25 GHz</w:t>
            </w:r>
          </w:p>
          <w:p w14:paraId="482470CF" w14:textId="720D9C3D" w:rsidR="00BD3615" w:rsidRPr="00BD3615" w:rsidRDefault="00BD3615" w:rsidP="00BD3615">
            <w:pPr>
              <w:numPr>
                <w:ilvl w:val="1"/>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Note: Appropriate TX/Rx separation for uplink downlink pairing will be required.</w:t>
            </w:r>
          </w:p>
          <w:p w14:paraId="3908970E" w14:textId="77777777" w:rsidR="00BD3615" w:rsidRPr="00BD3615" w:rsidRDefault="00BD3615" w:rsidP="00BD3615">
            <w:pPr>
              <w:numPr>
                <w:ilvl w:val="0"/>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 xml:space="preserve">Conduct coexistence study. Reuse Ka band coexistence study assumptions as much as possible, with modifications where necessary, e.g. for frequency range and subcarrier spacing. Conduct new co-existence studies based on adjacent </w:t>
            </w:r>
            <w:proofErr w:type="gramStart"/>
            <w:r w:rsidRPr="00BD3615">
              <w:rPr>
                <w:rFonts w:eastAsia="Times New Roman" w:cs="Times New Roman"/>
                <w:bCs/>
                <w:szCs w:val="20"/>
                <w:lang w:eastAsia="en-GB"/>
              </w:rPr>
              <w:t>services .</w:t>
            </w:r>
            <w:proofErr w:type="gramEnd"/>
          </w:p>
          <w:p w14:paraId="1997D678" w14:textId="77777777" w:rsidR="00BD3615" w:rsidRPr="00BD3615" w:rsidRDefault="00BD3615" w:rsidP="00BD3615">
            <w:pPr>
              <w:numPr>
                <w:ilvl w:val="0"/>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szCs w:val="20"/>
                <w:lang w:eastAsia="en-GB"/>
              </w:rPr>
              <w:t>Specify RF requirements for satellite access node and NTN VSAT types in 38.101-5 also considering existing regulations on antenna sizes for certain parts of the Ku band.</w:t>
            </w:r>
          </w:p>
          <w:p w14:paraId="710B8006" w14:textId="77777777" w:rsidR="00BD3615" w:rsidRPr="00BD3615" w:rsidRDefault="00BD3615" w:rsidP="00BD3615">
            <w:pPr>
              <w:numPr>
                <w:ilvl w:val="0"/>
                <w:numId w:val="34"/>
              </w:numPr>
              <w:overflowPunct w:val="0"/>
              <w:autoSpaceDE w:val="0"/>
              <w:autoSpaceDN w:val="0"/>
              <w:adjustRightInd w:val="0"/>
              <w:spacing w:after="180"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613B5C7D" w14:textId="77777777" w:rsidR="00BD3615" w:rsidRPr="00BD3615" w:rsidRDefault="00BD3615" w:rsidP="00BD3615">
            <w:pPr>
              <w:numPr>
                <w:ilvl w:val="1"/>
                <w:numId w:val="34"/>
              </w:numPr>
              <w:overflowPunct w:val="0"/>
              <w:autoSpaceDE w:val="0"/>
              <w:autoSpaceDN w:val="0"/>
              <w:adjustRightInd w:val="0"/>
              <w:spacing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t>Ku band #1a and #1b as FR1-NTN supporting 20 MHz, 35 MHz, 50 MHz, 70 MHz and 100 MHz channel bandwidths with 30 kHz subcarrier spacing</w:t>
            </w:r>
          </w:p>
          <w:p w14:paraId="3D58206B" w14:textId="77777777" w:rsidR="00BD3615" w:rsidRPr="00BD3615" w:rsidRDefault="00BD3615" w:rsidP="00BD3615">
            <w:pPr>
              <w:numPr>
                <w:ilvl w:val="1"/>
                <w:numId w:val="34"/>
              </w:numPr>
              <w:overflowPunct w:val="0"/>
              <w:autoSpaceDE w:val="0"/>
              <w:autoSpaceDN w:val="0"/>
              <w:adjustRightInd w:val="0"/>
              <w:spacing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t>Ku band #1a and #1b as FR2-NTN supporting 50 MHz, 100 MHz, 200 MHz, 400 MHz (120kHz SCS only) channel bandwidths with 120 kHz subcarrier spacing</w:t>
            </w:r>
          </w:p>
          <w:p w14:paraId="78E0901E" w14:textId="77777777" w:rsidR="00BD3615" w:rsidRPr="00BD3615" w:rsidRDefault="00BD3615" w:rsidP="00BD3615">
            <w:pPr>
              <w:numPr>
                <w:ilvl w:val="0"/>
                <w:numId w:val="34"/>
              </w:numPr>
              <w:overflowPunct w:val="0"/>
              <w:autoSpaceDE w:val="0"/>
              <w:autoSpaceDN w:val="0"/>
              <w:adjustRightInd w:val="0"/>
              <w:spacing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t>RAN4 will select which one of the above approaches for DL and UL will be pursued by RAN #106.</w:t>
            </w:r>
          </w:p>
          <w:p w14:paraId="5A05DAA3" w14:textId="77777777" w:rsidR="00BD3615" w:rsidRPr="00BD3615" w:rsidRDefault="00BD3615" w:rsidP="00BD3615">
            <w:pPr>
              <w:numPr>
                <w:ilvl w:val="0"/>
                <w:numId w:val="34"/>
              </w:numPr>
              <w:overflowPunct w:val="0"/>
              <w:autoSpaceDE w:val="0"/>
              <w:autoSpaceDN w:val="0"/>
              <w:adjustRightInd w:val="0"/>
              <w:spacing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lastRenderedPageBreak/>
              <w:t>Priority 2: for all ITU regions excluding the US in region 2, using the approach in Priority 1, define Ku band #2a and #2b as appropriate for the downlink block and uplink block A to support satellite services in 125 MHz (UL) and 250 MHz (DL) aggregated bandwidths.</w:t>
            </w:r>
          </w:p>
          <w:p w14:paraId="2DA19647" w14:textId="77777777" w:rsidR="00BD3615" w:rsidRPr="00BD3615" w:rsidRDefault="00BD3615" w:rsidP="00BD3615">
            <w:pPr>
              <w:numPr>
                <w:ilvl w:val="0"/>
                <w:numId w:val="34"/>
              </w:numPr>
              <w:overflowPunct w:val="0"/>
              <w:autoSpaceDE w:val="0"/>
              <w:autoSpaceDN w:val="0"/>
              <w:adjustRightInd w:val="0"/>
              <w:spacing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t xml:space="preserve">Specify RRM requirements </w:t>
            </w:r>
          </w:p>
          <w:p w14:paraId="2B0EED53" w14:textId="77777777" w:rsidR="00BD3615" w:rsidRPr="00BD3615" w:rsidRDefault="00BD3615" w:rsidP="00BD3615">
            <w:pPr>
              <w:autoSpaceDN w:val="0"/>
              <w:spacing w:line="256" w:lineRule="auto"/>
              <w:ind w:left="360"/>
              <w:contextualSpacing/>
              <w:jc w:val="both"/>
              <w:rPr>
                <w:rFonts w:eastAsia="Times New Roman" w:cs="Times New Roman"/>
                <w:szCs w:val="20"/>
                <w:lang w:val="en-US" w:eastAsia="en-GB"/>
              </w:rPr>
            </w:pPr>
          </w:p>
          <w:p w14:paraId="76B34039" w14:textId="77777777" w:rsidR="00BD3615" w:rsidRPr="00BD3615" w:rsidRDefault="00BD3615" w:rsidP="00BD3615">
            <w:pPr>
              <w:autoSpaceDN w:val="0"/>
              <w:spacing w:line="256" w:lineRule="auto"/>
              <w:ind w:left="360"/>
              <w:contextualSpacing/>
              <w:jc w:val="both"/>
              <w:rPr>
                <w:rFonts w:eastAsia="Times New Roman" w:cs="Times New Roman"/>
                <w:szCs w:val="20"/>
                <w:lang w:val="en-US" w:eastAsia="en-GB"/>
              </w:rPr>
            </w:pPr>
            <w:r w:rsidRPr="00BD3615">
              <w:rPr>
                <w:rFonts w:eastAsia="Times New Roman" w:cs="Times New Roman"/>
                <w:szCs w:val="20"/>
                <w:lang w:val="en-US" w:eastAsia="en-GB"/>
              </w:rPr>
              <w:t>Note: Support for NTN CA is not in the scope of this WID</w:t>
            </w:r>
          </w:p>
          <w:p w14:paraId="0512626E" w14:textId="79B5B77B" w:rsidR="00D9052A" w:rsidRPr="00270E4D" w:rsidRDefault="00D9052A">
            <w:pPr>
              <w:rPr>
                <w:szCs w:val="20"/>
              </w:rPr>
            </w:pPr>
          </w:p>
        </w:tc>
      </w:tr>
      <w:bookmarkEnd w:id="4"/>
    </w:tbl>
    <w:p w14:paraId="632E5746" w14:textId="77777777" w:rsidR="00D9052A" w:rsidRDefault="00D9052A" w:rsidP="00D9052A">
      <w:pPr>
        <w:rPr>
          <w:lang w:val="en-US"/>
        </w:rPr>
      </w:pPr>
    </w:p>
    <w:p w14:paraId="1835C287" w14:textId="77777777" w:rsidR="003B659E" w:rsidRPr="00614DD8" w:rsidRDefault="003B659E" w:rsidP="00AE56B1">
      <w:pPr>
        <w:pStyle w:val="RAN4H1"/>
        <w:rPr>
          <w:lang w:val="en-US"/>
        </w:rPr>
      </w:pPr>
      <w:bookmarkStart w:id="5" w:name="_Toc116995842"/>
      <w:r w:rsidRPr="00614DD8">
        <w:rPr>
          <w:lang w:val="en-US"/>
        </w:rPr>
        <w:t>Discussion</w:t>
      </w:r>
      <w:bookmarkEnd w:id="5"/>
    </w:p>
    <w:p w14:paraId="32900D71" w14:textId="4B57FDEC" w:rsidR="00B72A0C" w:rsidRPr="004D1622" w:rsidRDefault="00A73B72" w:rsidP="00B72A0C">
      <w:pPr>
        <w:pStyle w:val="RAN4H2"/>
        <w:rPr>
          <w:lang w:val="en-US"/>
        </w:rPr>
      </w:pPr>
      <w:r>
        <w:rPr>
          <w:lang w:val="en-US"/>
        </w:rPr>
        <w:t>Co-existence studies</w:t>
      </w:r>
    </w:p>
    <w:p w14:paraId="0EA62066" w14:textId="4EC67665" w:rsidR="0065710E" w:rsidRDefault="00A73B72" w:rsidP="00BD3615">
      <w:pPr>
        <w:spacing w:line="257" w:lineRule="auto"/>
      </w:pPr>
      <w:bookmarkStart w:id="6" w:name="_Hlk173501164"/>
      <w:r>
        <w:t xml:space="preserve">Given new bands are to be introduced, co-existence studies are required. Further, as suggested by the WID, existing Ka band co-existence assumptions should be reused as much as possible. </w:t>
      </w:r>
      <w:r w:rsidR="005F6E02">
        <w:t xml:space="preserve">A lot of work for co-existence was done for Ka band and is captured in </w:t>
      </w:r>
      <w:r w:rsidR="005F6E02">
        <w:fldChar w:fldCharType="begin"/>
      </w:r>
      <w:r w:rsidR="005F6E02">
        <w:instrText xml:space="preserve"> REF _Ref166227081 \r \h </w:instrText>
      </w:r>
      <w:r w:rsidR="005F6E02">
        <w:fldChar w:fldCharType="separate"/>
      </w:r>
      <w:r w:rsidR="005F6E02">
        <w:t>[2]</w:t>
      </w:r>
      <w:r w:rsidR="005F6E02">
        <w:fldChar w:fldCharType="end"/>
      </w:r>
      <w:r w:rsidR="005F6E02">
        <w:t>.</w:t>
      </w:r>
      <w:r w:rsidR="00355F57">
        <w:t xml:space="preserve"> Thus, excluding the actual frequency range numbers, the simulation scenarios, assumptions, and methodology can be reused from section 6 of </w:t>
      </w:r>
      <w:r w:rsidR="00355F57">
        <w:fldChar w:fldCharType="begin"/>
      </w:r>
      <w:r w:rsidR="00355F57">
        <w:instrText xml:space="preserve"> REF _Ref166227081 \r \h </w:instrText>
      </w:r>
      <w:r w:rsidR="00355F57">
        <w:fldChar w:fldCharType="separate"/>
      </w:r>
      <w:r w:rsidR="00355F57">
        <w:t>[2]</w:t>
      </w:r>
      <w:r w:rsidR="00355F57">
        <w:fldChar w:fldCharType="end"/>
      </w:r>
      <w:r w:rsidR="00355F57">
        <w:t>.</w:t>
      </w:r>
    </w:p>
    <w:p w14:paraId="57995659" w14:textId="080888BC" w:rsidR="00BB3872" w:rsidRDefault="00BB3872" w:rsidP="00B72A0C">
      <w:pPr>
        <w:pStyle w:val="RAN4proposal"/>
      </w:pPr>
      <w:bookmarkStart w:id="7" w:name="_Toc173503817"/>
      <w:bookmarkStart w:id="8" w:name="_Toc166509892"/>
      <w:bookmarkEnd w:id="6"/>
      <w:r>
        <w:t xml:space="preserve">Agree to </w:t>
      </w:r>
      <w:r w:rsidR="00EB2606">
        <w:t>re</w:t>
      </w:r>
      <w:r>
        <w:t xml:space="preserve">use </w:t>
      </w:r>
      <w:r w:rsidR="00EB2606">
        <w:t>simulation scenarios, assumptions and methodology from TR 38.863</w:t>
      </w:r>
      <w:r>
        <w:t>.</w:t>
      </w:r>
      <w:bookmarkEnd w:id="7"/>
    </w:p>
    <w:p w14:paraId="31F7231A" w14:textId="77777777" w:rsidR="00CD7492" w:rsidRPr="00614DD8" w:rsidRDefault="00CD7492" w:rsidP="00A37002">
      <w:pPr>
        <w:pStyle w:val="RAN4H1"/>
        <w:rPr>
          <w:lang w:val="en-US"/>
        </w:rPr>
      </w:pPr>
      <w:bookmarkStart w:id="9" w:name="_Toc116995848"/>
      <w:bookmarkEnd w:id="8"/>
      <w:r w:rsidRPr="00614DD8">
        <w:rPr>
          <w:lang w:val="en-US"/>
        </w:rPr>
        <w:t>Conclusion</w:t>
      </w:r>
      <w:bookmarkEnd w:id="9"/>
    </w:p>
    <w:p w14:paraId="511EEB04"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487A14BC" w14:textId="153244AA" w:rsidR="009068ED"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3503817" w:history="1">
        <w:r w:rsidR="009068ED" w:rsidRPr="00703D92">
          <w:rPr>
            <w:rStyle w:val="Hyperlink"/>
            <w:noProof/>
          </w:rPr>
          <w:t>Proposal 1: Agree to reuse simulation scenarios, assumptions and methodology from TR 38.863.</w:t>
        </w:r>
      </w:hyperlink>
    </w:p>
    <w:p w14:paraId="71BCE1E3" w14:textId="0E7A4678" w:rsidR="00847264" w:rsidRPr="00614DD8" w:rsidRDefault="00A4355E" w:rsidP="008C39F7">
      <w:pPr>
        <w:rPr>
          <w:lang w:val="en-US"/>
        </w:rPr>
      </w:pPr>
      <w:r w:rsidRPr="00614DD8">
        <w:rPr>
          <w:lang w:val="en-US"/>
        </w:rPr>
        <w:fldChar w:fldCharType="end"/>
      </w:r>
      <w:bookmarkStart w:id="10"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0"/>
    </w:p>
    <w:p w14:paraId="73EE0639" w14:textId="16328761" w:rsidR="00D9052A" w:rsidRDefault="00D9052A" w:rsidP="00D9052A">
      <w:pPr>
        <w:pStyle w:val="ListParagraph"/>
        <w:numPr>
          <w:ilvl w:val="0"/>
          <w:numId w:val="21"/>
        </w:numPr>
        <w:ind w:right="-22"/>
        <w:rPr>
          <w:lang w:val="en-US"/>
        </w:rPr>
      </w:pPr>
      <w:bookmarkStart w:id="11" w:name="_Ref114500673"/>
      <w:bookmarkStart w:id="12" w:name="_Ref165543298"/>
      <w:bookmarkEnd w:id="11"/>
      <w:r w:rsidRPr="00614DD8">
        <w:rPr>
          <w:lang w:val="en-US"/>
        </w:rPr>
        <w:t>R</w:t>
      </w:r>
      <w:r>
        <w:rPr>
          <w:lang w:val="en-US"/>
        </w:rPr>
        <w:t>P</w:t>
      </w:r>
      <w:r w:rsidRPr="00614DD8">
        <w:rPr>
          <w:lang w:val="en-US"/>
        </w:rPr>
        <w:t>-</w:t>
      </w:r>
      <w:r>
        <w:rPr>
          <w:lang w:val="en-US"/>
        </w:rPr>
        <w:t>24</w:t>
      </w:r>
      <w:r w:rsidR="00BD3615">
        <w:rPr>
          <w:lang w:val="en-US"/>
        </w:rPr>
        <w:t>1690,</w:t>
      </w:r>
      <w:r w:rsidRPr="00614DD8">
        <w:rPr>
          <w:lang w:val="en-US"/>
        </w:rPr>
        <w:t xml:space="preserve"> </w:t>
      </w:r>
      <w:r w:rsidR="00BD3615" w:rsidRPr="00BD3615">
        <w:rPr>
          <w:lang w:val="en-US"/>
        </w:rPr>
        <w:t>New WID on Introduction of Ku Band for NR NTN</w:t>
      </w:r>
      <w:r w:rsidRPr="00614DD8">
        <w:rPr>
          <w:lang w:val="en-US"/>
        </w:rPr>
        <w:t>, RAN#10</w:t>
      </w:r>
      <w:r w:rsidR="00BD3615">
        <w:rPr>
          <w:lang w:val="en-US"/>
        </w:rPr>
        <w:t>4</w:t>
      </w:r>
      <w:r w:rsidRPr="00614DD8">
        <w:rPr>
          <w:lang w:val="en-US"/>
        </w:rPr>
        <w:t xml:space="preserve">, </w:t>
      </w:r>
      <w:r w:rsidR="00BD3615">
        <w:rPr>
          <w:lang w:val="en-US"/>
        </w:rPr>
        <w:t>Shanghai</w:t>
      </w:r>
      <w:r w:rsidRPr="00614DD8">
        <w:rPr>
          <w:lang w:val="en-US"/>
        </w:rPr>
        <w:t xml:space="preserve">, </w:t>
      </w:r>
      <w:r w:rsidR="00BD3615">
        <w:rPr>
          <w:lang w:val="en-US"/>
        </w:rPr>
        <w:t>China</w:t>
      </w:r>
      <w:r w:rsidRPr="00614DD8">
        <w:rPr>
          <w:lang w:val="en-US"/>
        </w:rPr>
        <w:t xml:space="preserve">, </w:t>
      </w:r>
      <w:r>
        <w:rPr>
          <w:lang w:val="en-US"/>
        </w:rPr>
        <w:t>1</w:t>
      </w:r>
      <w:r w:rsidR="00BD3615">
        <w:rPr>
          <w:lang w:val="en-US"/>
        </w:rPr>
        <w:t>7</w:t>
      </w:r>
      <w:r w:rsidRPr="00614DD8">
        <w:rPr>
          <w:lang w:val="en-US"/>
        </w:rPr>
        <w:t xml:space="preserve"> – 2</w:t>
      </w:r>
      <w:r w:rsidR="00BD3615">
        <w:rPr>
          <w:lang w:val="en-US"/>
        </w:rPr>
        <w:t>0</w:t>
      </w:r>
      <w:r w:rsidRPr="00614DD8">
        <w:rPr>
          <w:lang w:val="en-US"/>
        </w:rPr>
        <w:t xml:space="preserve"> </w:t>
      </w:r>
      <w:r w:rsidR="00BD3615">
        <w:rPr>
          <w:lang w:val="en-US"/>
        </w:rPr>
        <w:t>June</w:t>
      </w:r>
      <w:r w:rsidRPr="00614DD8">
        <w:rPr>
          <w:lang w:val="en-US"/>
        </w:rPr>
        <w:t xml:space="preserve"> 202</w:t>
      </w:r>
      <w:r w:rsidR="00BD3615">
        <w:rPr>
          <w:lang w:val="en-US"/>
        </w:rPr>
        <w:t>4</w:t>
      </w:r>
      <w:r w:rsidRPr="00614DD8">
        <w:rPr>
          <w:lang w:val="en-US"/>
        </w:rPr>
        <w:t>.</w:t>
      </w:r>
    </w:p>
    <w:p w14:paraId="0D71AE20" w14:textId="39F74AC9" w:rsidR="00D9052A" w:rsidRPr="00071CAC" w:rsidRDefault="00071CAC">
      <w:pPr>
        <w:pStyle w:val="ListParagraph"/>
        <w:numPr>
          <w:ilvl w:val="0"/>
          <w:numId w:val="21"/>
        </w:numPr>
        <w:spacing w:line="256" w:lineRule="auto"/>
        <w:ind w:right="-22"/>
        <w:rPr>
          <w:lang w:val="en-US"/>
        </w:rPr>
      </w:pPr>
      <w:bookmarkStart w:id="13" w:name="_Ref166227081"/>
      <w:r w:rsidRPr="00071CAC">
        <w:rPr>
          <w:lang w:val="en-US"/>
        </w:rPr>
        <w:t>TR 38.863</w:t>
      </w:r>
      <w:r w:rsidR="00D9052A" w:rsidRPr="00071CAC">
        <w:rPr>
          <w:lang w:val="en-US"/>
        </w:rPr>
        <w:t xml:space="preserve">, </w:t>
      </w:r>
      <w:r w:rsidRPr="00071CAC">
        <w:rPr>
          <w:lang w:val="en-US"/>
        </w:rPr>
        <w:t>Solutions for NR to support non-terrestrial networks (NTN):</w:t>
      </w:r>
      <w:r>
        <w:rPr>
          <w:lang w:val="en-US"/>
        </w:rPr>
        <w:t xml:space="preserve"> </w:t>
      </w:r>
      <w:r w:rsidRPr="00071CAC">
        <w:rPr>
          <w:lang w:val="en-US"/>
        </w:rPr>
        <w:t>Non-terrestrial networks (NTN) related RF and co-existence aspects</w:t>
      </w:r>
      <w:r w:rsidR="00D9052A" w:rsidRPr="00071CAC">
        <w:rPr>
          <w:lang w:val="en-US"/>
        </w:rPr>
        <w:t>.</w:t>
      </w:r>
      <w:bookmarkEnd w:id="12"/>
      <w:bookmarkEnd w:id="13"/>
    </w:p>
    <w:sectPr w:rsidR="00D9052A" w:rsidRPr="00071CA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14FFC" w14:textId="77777777" w:rsidR="006C210E" w:rsidRDefault="006C210E" w:rsidP="00001C9B">
      <w:pPr>
        <w:spacing w:after="0" w:line="240" w:lineRule="auto"/>
      </w:pPr>
      <w:r>
        <w:separator/>
      </w:r>
    </w:p>
  </w:endnote>
  <w:endnote w:type="continuationSeparator" w:id="0">
    <w:p w14:paraId="6A22E969" w14:textId="77777777" w:rsidR="006C210E" w:rsidRDefault="006C210E" w:rsidP="00001C9B">
      <w:pPr>
        <w:spacing w:after="0" w:line="240" w:lineRule="auto"/>
      </w:pPr>
      <w:r>
        <w:continuationSeparator/>
      </w:r>
    </w:p>
  </w:endnote>
  <w:endnote w:type="continuationNotice" w:id="1">
    <w:p w14:paraId="261D9BD7" w14:textId="77777777" w:rsidR="006C210E" w:rsidRDefault="006C21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552163" w14:textId="77777777" w:rsidR="006C210E" w:rsidRDefault="006C210E" w:rsidP="00001C9B">
      <w:pPr>
        <w:spacing w:after="0" w:line="240" w:lineRule="auto"/>
      </w:pPr>
      <w:r>
        <w:separator/>
      </w:r>
    </w:p>
  </w:footnote>
  <w:footnote w:type="continuationSeparator" w:id="0">
    <w:p w14:paraId="797E51EC" w14:textId="77777777" w:rsidR="006C210E" w:rsidRDefault="006C210E" w:rsidP="00001C9B">
      <w:pPr>
        <w:spacing w:after="0" w:line="240" w:lineRule="auto"/>
      </w:pPr>
      <w:r>
        <w:continuationSeparator/>
      </w:r>
    </w:p>
  </w:footnote>
  <w:footnote w:type="continuationNotice" w:id="1">
    <w:p w14:paraId="3AAB77A1" w14:textId="77777777" w:rsidR="006C210E" w:rsidRDefault="006C21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8"/>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0"/>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4"/>
  </w:num>
  <w:num w:numId="28" w16cid:durableId="411775096">
    <w:abstractNumId w:val="19"/>
  </w:num>
  <w:num w:numId="29" w16cid:durableId="1049035517">
    <w:abstractNumId w:val="8"/>
  </w:num>
  <w:num w:numId="30" w16cid:durableId="1508253574">
    <w:abstractNumId w:val="9"/>
  </w:num>
  <w:num w:numId="31" w16cid:durableId="1061832381">
    <w:abstractNumId w:val="17"/>
  </w:num>
  <w:num w:numId="32" w16cid:durableId="81419477">
    <w:abstractNumId w:val="3"/>
    <w:lvlOverride w:ilvl="0"/>
    <w:lvlOverride w:ilvl="1"/>
    <w:lvlOverride w:ilvl="2">
      <w:startOverride w:val="1"/>
    </w:lvlOverride>
    <w:lvlOverride w:ilvl="3"/>
    <w:lvlOverride w:ilvl="4"/>
    <w:lvlOverride w:ilvl="5"/>
    <w:lvlOverride w:ilvl="6"/>
    <w:lvlOverride w:ilvl="7"/>
    <w:lvlOverride w:ilvl="8"/>
  </w:num>
  <w:num w:numId="33" w16cid:durableId="1331329962">
    <w:abstractNumId w:val="21"/>
  </w:num>
  <w:num w:numId="34" w16cid:durableId="1737971265">
    <w:abstractNumId w:val="4"/>
  </w:num>
  <w:num w:numId="35" w16cid:durableId="13028824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11784"/>
    <w:rsid w:val="000151EF"/>
    <w:rsid w:val="000239F5"/>
    <w:rsid w:val="00030D12"/>
    <w:rsid w:val="000502B0"/>
    <w:rsid w:val="00054F7C"/>
    <w:rsid w:val="00066773"/>
    <w:rsid w:val="00071CAC"/>
    <w:rsid w:val="00072CCA"/>
    <w:rsid w:val="000763AA"/>
    <w:rsid w:val="0008612A"/>
    <w:rsid w:val="00090E18"/>
    <w:rsid w:val="000A10BC"/>
    <w:rsid w:val="000A7F53"/>
    <w:rsid w:val="000B0056"/>
    <w:rsid w:val="000C2E56"/>
    <w:rsid w:val="000C3C7B"/>
    <w:rsid w:val="000D0F93"/>
    <w:rsid w:val="0010107E"/>
    <w:rsid w:val="00106416"/>
    <w:rsid w:val="00110481"/>
    <w:rsid w:val="001127C9"/>
    <w:rsid w:val="00114498"/>
    <w:rsid w:val="00115B88"/>
    <w:rsid w:val="00132F6A"/>
    <w:rsid w:val="00133913"/>
    <w:rsid w:val="00140221"/>
    <w:rsid w:val="001519D8"/>
    <w:rsid w:val="001642FC"/>
    <w:rsid w:val="0016496B"/>
    <w:rsid w:val="001743E2"/>
    <w:rsid w:val="001745F8"/>
    <w:rsid w:val="001838CF"/>
    <w:rsid w:val="001868EE"/>
    <w:rsid w:val="00193A5A"/>
    <w:rsid w:val="001A3BA4"/>
    <w:rsid w:val="001A6D1F"/>
    <w:rsid w:val="001B1EA8"/>
    <w:rsid w:val="001E30F6"/>
    <w:rsid w:val="00217EE5"/>
    <w:rsid w:val="00224EC1"/>
    <w:rsid w:val="00235F5C"/>
    <w:rsid w:val="00246218"/>
    <w:rsid w:val="00257FA3"/>
    <w:rsid w:val="00277B56"/>
    <w:rsid w:val="00282A74"/>
    <w:rsid w:val="002849D4"/>
    <w:rsid w:val="002943ED"/>
    <w:rsid w:val="00296854"/>
    <w:rsid w:val="002A19F5"/>
    <w:rsid w:val="002B4922"/>
    <w:rsid w:val="002B69F3"/>
    <w:rsid w:val="002C22C3"/>
    <w:rsid w:val="002C2D19"/>
    <w:rsid w:val="002D10FA"/>
    <w:rsid w:val="002D4C55"/>
    <w:rsid w:val="002E6DED"/>
    <w:rsid w:val="00300956"/>
    <w:rsid w:val="00312251"/>
    <w:rsid w:val="00317187"/>
    <w:rsid w:val="0032499A"/>
    <w:rsid w:val="00333BC7"/>
    <w:rsid w:val="003341F7"/>
    <w:rsid w:val="00347FEC"/>
    <w:rsid w:val="003509DF"/>
    <w:rsid w:val="00355F57"/>
    <w:rsid w:val="00356F45"/>
    <w:rsid w:val="00366B74"/>
    <w:rsid w:val="00381F95"/>
    <w:rsid w:val="00397775"/>
    <w:rsid w:val="003A6FD1"/>
    <w:rsid w:val="003A710A"/>
    <w:rsid w:val="003B659E"/>
    <w:rsid w:val="003B6C59"/>
    <w:rsid w:val="003C275E"/>
    <w:rsid w:val="003C4CDE"/>
    <w:rsid w:val="003C4FDE"/>
    <w:rsid w:val="003D44AF"/>
    <w:rsid w:val="003E58DF"/>
    <w:rsid w:val="00404C4C"/>
    <w:rsid w:val="00412E2E"/>
    <w:rsid w:val="0041423F"/>
    <w:rsid w:val="00414F81"/>
    <w:rsid w:val="00416033"/>
    <w:rsid w:val="00436A0F"/>
    <w:rsid w:val="00437150"/>
    <w:rsid w:val="0043750A"/>
    <w:rsid w:val="004439ED"/>
    <w:rsid w:val="00447577"/>
    <w:rsid w:val="004665B2"/>
    <w:rsid w:val="004732E9"/>
    <w:rsid w:val="004854BB"/>
    <w:rsid w:val="00494493"/>
    <w:rsid w:val="00496606"/>
    <w:rsid w:val="004A71D2"/>
    <w:rsid w:val="004C2F76"/>
    <w:rsid w:val="004E5E66"/>
    <w:rsid w:val="004E7ADB"/>
    <w:rsid w:val="00503B4D"/>
    <w:rsid w:val="00504EE9"/>
    <w:rsid w:val="00514E4F"/>
    <w:rsid w:val="005205D2"/>
    <w:rsid w:val="00521576"/>
    <w:rsid w:val="005250E6"/>
    <w:rsid w:val="00542337"/>
    <w:rsid w:val="00542D23"/>
    <w:rsid w:val="0054442C"/>
    <w:rsid w:val="00550285"/>
    <w:rsid w:val="00562492"/>
    <w:rsid w:val="00572A20"/>
    <w:rsid w:val="005836F8"/>
    <w:rsid w:val="005918FA"/>
    <w:rsid w:val="00592A86"/>
    <w:rsid w:val="005B3029"/>
    <w:rsid w:val="005B4801"/>
    <w:rsid w:val="005B5717"/>
    <w:rsid w:val="005B6B5C"/>
    <w:rsid w:val="005C23A4"/>
    <w:rsid w:val="005D1CDF"/>
    <w:rsid w:val="005D2BB7"/>
    <w:rsid w:val="005D6FFE"/>
    <w:rsid w:val="005E61A8"/>
    <w:rsid w:val="005F6419"/>
    <w:rsid w:val="005F6E02"/>
    <w:rsid w:val="0060301D"/>
    <w:rsid w:val="006033FE"/>
    <w:rsid w:val="0060543D"/>
    <w:rsid w:val="006104DD"/>
    <w:rsid w:val="006130B5"/>
    <w:rsid w:val="00614DD8"/>
    <w:rsid w:val="00617400"/>
    <w:rsid w:val="00632D29"/>
    <w:rsid w:val="0065710E"/>
    <w:rsid w:val="00664950"/>
    <w:rsid w:val="00683220"/>
    <w:rsid w:val="00687FA0"/>
    <w:rsid w:val="006A3C11"/>
    <w:rsid w:val="006B29A0"/>
    <w:rsid w:val="006B6A95"/>
    <w:rsid w:val="006B7010"/>
    <w:rsid w:val="006C210E"/>
    <w:rsid w:val="006C3095"/>
    <w:rsid w:val="006E1151"/>
    <w:rsid w:val="006E23CF"/>
    <w:rsid w:val="006E6311"/>
    <w:rsid w:val="007145FF"/>
    <w:rsid w:val="00715B2A"/>
    <w:rsid w:val="00722C07"/>
    <w:rsid w:val="00733B21"/>
    <w:rsid w:val="0073545A"/>
    <w:rsid w:val="007450F1"/>
    <w:rsid w:val="007452C5"/>
    <w:rsid w:val="00751515"/>
    <w:rsid w:val="007626B7"/>
    <w:rsid w:val="0078212B"/>
    <w:rsid w:val="00784DF6"/>
    <w:rsid w:val="00785232"/>
    <w:rsid w:val="007A56FE"/>
    <w:rsid w:val="007B186C"/>
    <w:rsid w:val="007C1696"/>
    <w:rsid w:val="007C3ED0"/>
    <w:rsid w:val="007C48C4"/>
    <w:rsid w:val="007C5971"/>
    <w:rsid w:val="007E42DC"/>
    <w:rsid w:val="007F54B9"/>
    <w:rsid w:val="00806A76"/>
    <w:rsid w:val="00811C9D"/>
    <w:rsid w:val="00816C80"/>
    <w:rsid w:val="0081797B"/>
    <w:rsid w:val="00841BCD"/>
    <w:rsid w:val="00846760"/>
    <w:rsid w:val="00847264"/>
    <w:rsid w:val="00851A8E"/>
    <w:rsid w:val="0085365B"/>
    <w:rsid w:val="008826C1"/>
    <w:rsid w:val="00883DFD"/>
    <w:rsid w:val="0089210C"/>
    <w:rsid w:val="00893D2E"/>
    <w:rsid w:val="008A1BF7"/>
    <w:rsid w:val="008A5B0E"/>
    <w:rsid w:val="008B0961"/>
    <w:rsid w:val="008C39F7"/>
    <w:rsid w:val="0090091A"/>
    <w:rsid w:val="009042BD"/>
    <w:rsid w:val="00904FE4"/>
    <w:rsid w:val="009068ED"/>
    <w:rsid w:val="009133F6"/>
    <w:rsid w:val="00927740"/>
    <w:rsid w:val="00936159"/>
    <w:rsid w:val="00962849"/>
    <w:rsid w:val="009756AA"/>
    <w:rsid w:val="009774B3"/>
    <w:rsid w:val="00977E1D"/>
    <w:rsid w:val="00997EF7"/>
    <w:rsid w:val="009B0573"/>
    <w:rsid w:val="009B5DE1"/>
    <w:rsid w:val="009B7B4B"/>
    <w:rsid w:val="009B7C21"/>
    <w:rsid w:val="009C2CDB"/>
    <w:rsid w:val="009E4E6E"/>
    <w:rsid w:val="00A04992"/>
    <w:rsid w:val="00A04A4A"/>
    <w:rsid w:val="00A147AA"/>
    <w:rsid w:val="00A21D71"/>
    <w:rsid w:val="00A22B78"/>
    <w:rsid w:val="00A246F7"/>
    <w:rsid w:val="00A24AFE"/>
    <w:rsid w:val="00A25AE5"/>
    <w:rsid w:val="00A26442"/>
    <w:rsid w:val="00A37002"/>
    <w:rsid w:val="00A37B26"/>
    <w:rsid w:val="00A4355E"/>
    <w:rsid w:val="00A520D9"/>
    <w:rsid w:val="00A60355"/>
    <w:rsid w:val="00A64DA0"/>
    <w:rsid w:val="00A73B72"/>
    <w:rsid w:val="00A92BCD"/>
    <w:rsid w:val="00AA1B0E"/>
    <w:rsid w:val="00AA47B6"/>
    <w:rsid w:val="00AA47E2"/>
    <w:rsid w:val="00AC163B"/>
    <w:rsid w:val="00AC5CA7"/>
    <w:rsid w:val="00AC6058"/>
    <w:rsid w:val="00AD22D3"/>
    <w:rsid w:val="00AD59B4"/>
    <w:rsid w:val="00AE2219"/>
    <w:rsid w:val="00AE2BA5"/>
    <w:rsid w:val="00AE56B1"/>
    <w:rsid w:val="00AE6D09"/>
    <w:rsid w:val="00AF7A7C"/>
    <w:rsid w:val="00B02070"/>
    <w:rsid w:val="00B408B6"/>
    <w:rsid w:val="00B513DE"/>
    <w:rsid w:val="00B542DA"/>
    <w:rsid w:val="00B72A0C"/>
    <w:rsid w:val="00B73862"/>
    <w:rsid w:val="00B73F43"/>
    <w:rsid w:val="00B75BBF"/>
    <w:rsid w:val="00B81CDC"/>
    <w:rsid w:val="00BA1E12"/>
    <w:rsid w:val="00BA308C"/>
    <w:rsid w:val="00BA6B66"/>
    <w:rsid w:val="00BA6E48"/>
    <w:rsid w:val="00BB3872"/>
    <w:rsid w:val="00BB4EC9"/>
    <w:rsid w:val="00BC255F"/>
    <w:rsid w:val="00BD3615"/>
    <w:rsid w:val="00BE0AF6"/>
    <w:rsid w:val="00BE1F03"/>
    <w:rsid w:val="00BE58A7"/>
    <w:rsid w:val="00BF2218"/>
    <w:rsid w:val="00C0426B"/>
    <w:rsid w:val="00C045DF"/>
    <w:rsid w:val="00C203FD"/>
    <w:rsid w:val="00C26C76"/>
    <w:rsid w:val="00C26D43"/>
    <w:rsid w:val="00C35173"/>
    <w:rsid w:val="00C46548"/>
    <w:rsid w:val="00C53263"/>
    <w:rsid w:val="00C574D5"/>
    <w:rsid w:val="00C73F32"/>
    <w:rsid w:val="00C87462"/>
    <w:rsid w:val="00CA180C"/>
    <w:rsid w:val="00CA2DAC"/>
    <w:rsid w:val="00CA3C58"/>
    <w:rsid w:val="00CB22B2"/>
    <w:rsid w:val="00CC1C50"/>
    <w:rsid w:val="00CC3EE2"/>
    <w:rsid w:val="00CD7492"/>
    <w:rsid w:val="00CE3A6B"/>
    <w:rsid w:val="00CF3DD4"/>
    <w:rsid w:val="00D00211"/>
    <w:rsid w:val="00D006D1"/>
    <w:rsid w:val="00D025AE"/>
    <w:rsid w:val="00D06309"/>
    <w:rsid w:val="00D351EA"/>
    <w:rsid w:val="00D40288"/>
    <w:rsid w:val="00D43403"/>
    <w:rsid w:val="00D50A6B"/>
    <w:rsid w:val="00D5270B"/>
    <w:rsid w:val="00D62E71"/>
    <w:rsid w:val="00D6430D"/>
    <w:rsid w:val="00D66188"/>
    <w:rsid w:val="00D711E3"/>
    <w:rsid w:val="00D731F6"/>
    <w:rsid w:val="00D740CA"/>
    <w:rsid w:val="00D85728"/>
    <w:rsid w:val="00D9052A"/>
    <w:rsid w:val="00D95481"/>
    <w:rsid w:val="00D96083"/>
    <w:rsid w:val="00DC7A13"/>
    <w:rsid w:val="00DE7064"/>
    <w:rsid w:val="00DF2997"/>
    <w:rsid w:val="00DF76C5"/>
    <w:rsid w:val="00E10BC4"/>
    <w:rsid w:val="00E1415D"/>
    <w:rsid w:val="00E213BD"/>
    <w:rsid w:val="00E234C1"/>
    <w:rsid w:val="00E323E9"/>
    <w:rsid w:val="00E32FB6"/>
    <w:rsid w:val="00E339B0"/>
    <w:rsid w:val="00E34018"/>
    <w:rsid w:val="00E42AE1"/>
    <w:rsid w:val="00E437D2"/>
    <w:rsid w:val="00E43BF9"/>
    <w:rsid w:val="00E449D7"/>
    <w:rsid w:val="00E47BC6"/>
    <w:rsid w:val="00E51930"/>
    <w:rsid w:val="00E55751"/>
    <w:rsid w:val="00E62948"/>
    <w:rsid w:val="00E7398E"/>
    <w:rsid w:val="00E82B94"/>
    <w:rsid w:val="00EA2311"/>
    <w:rsid w:val="00EA6133"/>
    <w:rsid w:val="00EB2606"/>
    <w:rsid w:val="00EB7E4E"/>
    <w:rsid w:val="00EC7BC3"/>
    <w:rsid w:val="00ED073B"/>
    <w:rsid w:val="00ED7600"/>
    <w:rsid w:val="00EE0461"/>
    <w:rsid w:val="00EF6073"/>
    <w:rsid w:val="00EF698B"/>
    <w:rsid w:val="00F1362C"/>
    <w:rsid w:val="00F414F1"/>
    <w:rsid w:val="00F4446E"/>
    <w:rsid w:val="00F508B8"/>
    <w:rsid w:val="00F72CB1"/>
    <w:rsid w:val="00F8215E"/>
    <w:rsid w:val="00F824F5"/>
    <w:rsid w:val="00F90FAB"/>
    <w:rsid w:val="00F9374D"/>
    <w:rsid w:val="00FA3179"/>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4EC9"/>
    <w:rPr>
      <w:rFonts w:ascii="Times New Roman" w:hAnsi="Times New Roman"/>
      <w:sz w:val="20"/>
      <w:lang w:val="en-GB"/>
    </w:rPr>
  </w:style>
  <w:style w:type="paragraph" w:styleId="Footer">
    <w:name w:val="footer"/>
    <w:basedOn w:val="Normal"/>
    <w:link w:val="FooterChar"/>
    <w:uiPriority w:val="99"/>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2024-08-09T14:03:00Z</dcterms:created>
  <dcterms:modified xsi:type="dcterms:W3CDTF">2024-08-09T14:03:00Z</dcterms:modified>
</cp:coreProperties>
</file>